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Avenir Heavy" w:cs="Avenir Heavy" w:hAnsi="Avenir Heavy" w:eastAsia="Avenir Heavy"/>
          <w:color w:val="8c0103"/>
          <w:sz w:val="26"/>
          <w:szCs w:val="26"/>
          <w:u w:color="8c0103"/>
        </w:rPr>
      </w:pPr>
      <w:r>
        <w:rPr>
          <w:rFonts w:ascii="Avenir Heavy" w:hAnsi="Avenir Heavy"/>
          <w:color w:val="8c0103"/>
          <w:sz w:val="26"/>
          <w:szCs w:val="26"/>
          <w:u w:color="8c0103"/>
          <w:rtl w:val="0"/>
          <w:lang w:val="en-US"/>
        </w:rPr>
        <w:t>Name</w:t>
      </w:r>
      <w:r>
        <w:rPr>
          <w:rFonts w:ascii="Avenir Heavy" w:hAnsi="Avenir Heavy" w:hint="default"/>
          <w:color w:val="8c0103"/>
          <w:sz w:val="26"/>
          <w:szCs w:val="26"/>
          <w:u w:color="8c0103"/>
          <w:rtl w:val="0"/>
          <w:lang w:val="en-US"/>
        </w:rPr>
        <w:t>…</w:t>
      </w:r>
      <w:r>
        <w:rPr>
          <w:rFonts w:ascii="Avenir Heavy" w:hAnsi="Avenir Heavy"/>
          <w:color w:val="8c0103"/>
          <w:sz w:val="26"/>
          <w:szCs w:val="26"/>
          <w:u w:color="8c0103"/>
          <w:rtl w:val="0"/>
          <w:lang w:val="en-US"/>
        </w:rPr>
        <w:t xml:space="preserve">..  </w:t>
      </w:r>
    </w:p>
    <w:p>
      <w:pPr>
        <w:pStyle w:val="Body A"/>
        <w:rPr>
          <w:rFonts w:ascii="Avenir Roman" w:cs="Avenir Roman" w:hAnsi="Avenir Roman" w:eastAsia="Avenir Roman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EDUCATION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1967-71    BFA University of North Carolina at Greensboro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1971-73    MFA Claremont Graduate University, Claremont, CA</w:t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SELECTED EXHIBITIONS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1977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Pattern Painting</w:t>
      </w:r>
      <w:r>
        <w:rPr>
          <w:rFonts w:ascii="Avenir Roman" w:hAnsi="Avenir Roman"/>
          <w:sz w:val="18"/>
          <w:szCs w:val="18"/>
          <w:rtl w:val="0"/>
          <w:lang w:val="en-US"/>
        </w:rPr>
        <w:t>, P.S. 1, Institute For Art and Urban Resources, L.I.City, N.Y.</w:t>
        <w:tab/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1978</w:t>
      </w:r>
      <w:r>
        <w:rPr>
          <w:rFonts w:ascii="Avenir Book" w:cs="Avenir Book" w:hAnsi="Avenir Book" w:eastAsia="Avenir Book"/>
          <w:sz w:val="18"/>
          <w:szCs w:val="18"/>
          <w:rtl w:val="0"/>
          <w:lang w:val="en-US"/>
        </w:rPr>
        <w:tab/>
        <w:t>Paperwork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The Drawing Center, NYC  </w:t>
      </w:r>
      <w:r>
        <w:rPr>
          <w:rFonts w:ascii="Avenir Heavy" w:hAnsi="Avenir Heavy"/>
          <w:sz w:val="18"/>
          <w:szCs w:val="18"/>
          <w:rtl w:val="0"/>
          <w:lang w:val="en-US"/>
        </w:rPr>
        <w:t xml:space="preserve">&gt; </w:t>
      </w:r>
      <w:r>
        <w:rPr>
          <w:rFonts w:ascii="Avenir Book" w:hAnsi="Avenir Book"/>
          <w:sz w:val="18"/>
          <w:szCs w:val="18"/>
          <w:rtl w:val="0"/>
          <w:lang w:val="en-US"/>
        </w:rPr>
        <w:t>Pattern on Paper,</w:t>
      </w:r>
      <w:r>
        <w:rPr>
          <w:rFonts w:ascii="Avenir Roman" w:hAnsi="Avenir Roman"/>
          <w:sz w:val="18"/>
          <w:szCs w:val="18"/>
          <w:rtl w:val="0"/>
          <w:lang w:val="da-DK"/>
        </w:rPr>
        <w:t xml:space="preserve"> Gladstone/Villani Gallery, NYC</w:t>
        <w:tab/>
      </w:r>
    </w:p>
    <w:p>
      <w:pPr>
        <w:pStyle w:val="Body A"/>
        <w:ind w:left="720" w:hanging="72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1979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Decorative Art: Recent Works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Douglass College, Rutgers University, N.J.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CAPS Graphic Artists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State University of N.Y. Brockport &amp; New Paltz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Short Stories and Tall Tales</w:t>
      </w:r>
      <w:r>
        <w:rPr>
          <w:rFonts w:ascii="Avenir Roman" w:hAnsi="Avenir Roman"/>
          <w:sz w:val="18"/>
          <w:szCs w:val="18"/>
          <w:rtl w:val="0"/>
          <w:lang w:val="en-US"/>
        </w:rPr>
        <w:t>, solo Show, Barbara Gladstone Gallery, NYC</w:t>
        <w:tab/>
        <w:tab/>
        <w:tab/>
      </w:r>
    </w:p>
    <w:p>
      <w:pPr>
        <w:pStyle w:val="Body A"/>
        <w:ind w:left="720" w:hanging="72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1980</w:t>
      </w:r>
      <w:r>
        <w:rPr>
          <w:rFonts w:ascii="Avenir Book" w:cs="Avenir Book" w:hAnsi="Avenir Book" w:eastAsia="Avenir Book"/>
          <w:sz w:val="18"/>
          <w:szCs w:val="18"/>
          <w:rtl w:val="0"/>
          <w:lang w:val="en-US"/>
        </w:rPr>
        <w:tab/>
        <w:t>New York Pattern Show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Merwin Gallery, Illinois Wesleyan University 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Young Americans of The Eighties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Hans Strelow Gallery, Dusseldorf 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pt-PT"/>
        </w:rPr>
        <w:t>Recap</w:t>
      </w:r>
      <w:r>
        <w:rPr>
          <w:rFonts w:ascii="Avenir Roman" w:hAnsi="Avenir Roman"/>
          <w:sz w:val="18"/>
          <w:szCs w:val="18"/>
          <w:rtl w:val="0"/>
          <w:lang w:val="en-US"/>
        </w:rPr>
        <w:t>, Barbara Gladstone Gallery, NYC</w:t>
        <w:tab/>
        <w:tab/>
        <w:tab/>
        <w:tab/>
        <w:tab/>
      </w:r>
    </w:p>
    <w:p>
      <w:pPr>
        <w:pStyle w:val="Body A"/>
        <w:ind w:left="720" w:hanging="72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1981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The Art of North Carolina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Squibb World Headquarters, Princeton, N.J.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Art On Paper</w:t>
      </w:r>
      <w:r>
        <w:rPr>
          <w:rFonts w:ascii="Avenir Roman" w:hAnsi="Avenir Roman"/>
          <w:sz w:val="18"/>
          <w:szCs w:val="18"/>
          <w:rtl w:val="0"/>
          <w:lang w:val="en-US"/>
        </w:rPr>
        <w:t>, Weatherspoon Gallery, Greensboro.</w:t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1982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New Drawing In America,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The Drawing Center, N.Y., London, Italy</w:t>
        <w:tab/>
        <w:tab/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1983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Variations On A Theme: Embellished Elevations of The Carnegie Mansion</w:t>
      </w:r>
      <w:r>
        <w:rPr>
          <w:rFonts w:ascii="Avenir Roman" w:hAnsi="Avenir Roman"/>
          <w:sz w:val="18"/>
          <w:szCs w:val="18"/>
          <w:rtl w:val="0"/>
          <w:lang w:val="en-US"/>
        </w:rPr>
        <w:t>, Cooper Hewitt Museum, NYC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2017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This Is Not A Teapot</w:t>
      </w:r>
      <w:r>
        <w:rPr>
          <w:rFonts w:ascii="Avenir Roman" w:hAnsi="Avenir Roman"/>
          <w:sz w:val="18"/>
          <w:szCs w:val="18"/>
          <w:rtl w:val="0"/>
          <w:lang w:val="en-US"/>
        </w:rPr>
        <w:t>, Ground Floor Gallery, group show, Brooklyn Clay Tour, N.Y.</w:t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2019      </w:t>
      </w:r>
      <w:r>
        <w:rPr>
          <w:rFonts w:ascii="Avenir Book" w:hAnsi="Avenir Book"/>
          <w:sz w:val="18"/>
          <w:szCs w:val="18"/>
          <w:rtl w:val="0"/>
          <w:lang w:val="en-US"/>
        </w:rPr>
        <w:t>The Gathering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two-person exhibition, Ground Floor Gallery, Bklyn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de-DE"/>
        </w:rPr>
        <w:t>Temple, Totem, Nest</w:t>
      </w:r>
      <w:r>
        <w:rPr>
          <w:rFonts w:ascii="Avenir Roman" w:hAnsi="Avenir Roman"/>
          <w:sz w:val="18"/>
          <w:szCs w:val="18"/>
          <w:rtl w:val="0"/>
          <w:lang w:val="en-US"/>
        </w:rPr>
        <w:t>, 3 person show Artsy, Gagne</w:t>
        <w:tab/>
        <w:tab/>
        <w:t xml:space="preserve"> Contemporary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The Root of The Matter</w:t>
      </w:r>
      <w:r>
        <w:rPr>
          <w:rFonts w:ascii="Avenir Roman" w:hAnsi="Avenir Roman"/>
          <w:sz w:val="18"/>
          <w:szCs w:val="18"/>
          <w:rtl w:val="0"/>
          <w:lang w:val="it-IT"/>
        </w:rPr>
        <w:t xml:space="preserve">, solo exhibit, NU Hotel, Welancora Gallery, Bklyn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fr-FR"/>
        </w:rPr>
        <w:t xml:space="preserve">Constructions, </w:t>
      </w:r>
      <w:r>
        <w:rPr>
          <w:rFonts w:ascii="Avenir Roman" w:hAnsi="Avenir Roman"/>
          <w:sz w:val="18"/>
          <w:szCs w:val="18"/>
          <w:rtl w:val="0"/>
          <w:lang w:val="en-US"/>
        </w:rPr>
        <w:t>curator: John</w:t>
        <w:tab/>
        <w:tab/>
        <w:t xml:space="preserve"> Gagne, Ground Floor Gallery, Bklyn</w:t>
        <w:tab/>
        <w:tab/>
      </w:r>
    </w:p>
    <w:p>
      <w:pPr>
        <w:pStyle w:val="Body A"/>
        <w:ind w:left="720" w:hanging="72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2020</w:t>
        <w:tab/>
      </w:r>
      <w:r>
        <w:rPr>
          <w:rFonts w:ascii="Avenir Book" w:hAnsi="Avenir Book"/>
          <w:sz w:val="18"/>
          <w:szCs w:val="18"/>
          <w:rtl w:val="0"/>
          <w:lang w:val="en-US"/>
        </w:rPr>
        <w:t>Annual Small Works Show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440 Gallery, Bklyn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Fresh Paint, 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Art of Our Century Gallery, NYC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nl-NL"/>
        </w:rPr>
        <w:t>Sweetwaters Caf</w:t>
      </w:r>
      <w:r>
        <w:rPr>
          <w:rFonts w:ascii="Avenir Book" w:hAnsi="Avenir Book" w:hint="default"/>
          <w:sz w:val="18"/>
          <w:szCs w:val="18"/>
          <w:rtl w:val="0"/>
          <w:lang w:val="en-US"/>
        </w:rPr>
        <w:t>é</w:t>
      </w:r>
      <w:r>
        <w:rPr>
          <w:rFonts w:ascii="Avenir Book" w:hAnsi="Avenir Book"/>
          <w:sz w:val="18"/>
          <w:szCs w:val="18"/>
          <w:rtl w:val="0"/>
          <w:lang w:val="en-US"/>
        </w:rPr>
        <w:t>,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solo show Arts Gowanus, Bklyn 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Linked, </w:t>
      </w:r>
      <w:r>
        <w:rPr>
          <w:rFonts w:ascii="Avenir Roman" w:hAnsi="Avenir Roman"/>
          <w:sz w:val="18"/>
          <w:szCs w:val="18"/>
          <w:rtl w:val="0"/>
          <w:lang w:val="en-US"/>
        </w:rPr>
        <w:t>group show, 440 Gallery, Bklyn</w:t>
      </w:r>
      <w:r>
        <w:rPr>
          <w:rFonts w:ascii="Avenir Heavy" w:hAnsi="Avenir Heavy"/>
          <w:sz w:val="18"/>
          <w:szCs w:val="18"/>
          <w:rtl w:val="0"/>
          <w:lang w:val="en-US"/>
        </w:rPr>
        <w:t xml:space="preserve">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  <w:lang w:val="de-DE"/>
        </w:rPr>
      </w:pPr>
      <w:r>
        <w:rPr>
          <w:rFonts w:ascii="Avenir Roman" w:hAnsi="Avenir Roman"/>
          <w:sz w:val="18"/>
          <w:szCs w:val="18"/>
          <w:u w:val="single"/>
          <w:rtl w:val="0"/>
          <w:lang w:val="de-DE"/>
        </w:rPr>
        <w:t>HONORS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1972-73   Mills Research Associateship Grant in Painting, Claremont Graduate School</w:t>
        <w:tab/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1974 -77  N.C. State Arts Council Artist in Residence                                                              </w:t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1979</w:t>
        <w:tab/>
        <w:t xml:space="preserve">   Creative Artists Public Service Grant in Painting, N.Y. State Council on the Arts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1981</w:t>
        <w:tab/>
        <w:t xml:space="preserve">   Artist in Residence, Yaddo, Saratoga Springs, N.Y.</w:t>
        <w:tab/>
        <w:tab/>
        <w:tab/>
        <w:tab/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2017</w:t>
        <w:tab/>
        <w:t xml:space="preserve">   </w:t>
      </w:r>
      <w:r>
        <w:rPr>
          <w:rFonts w:ascii="Avenir Roman" w:hAnsi="Avenir Roman" w:hint="default"/>
          <w:sz w:val="18"/>
          <w:szCs w:val="18"/>
          <w:rtl w:val="0"/>
          <w:lang w:val="en-US"/>
        </w:rPr>
        <w:t>“</w:t>
      </w:r>
      <w:r>
        <w:rPr>
          <w:rFonts w:ascii="Avenir Roman" w:hAnsi="Avenir Roman"/>
          <w:sz w:val="18"/>
          <w:szCs w:val="18"/>
          <w:rtl w:val="0"/>
          <w:lang w:val="en-US"/>
        </w:rPr>
        <w:t>Madeline Sadin Award</w:t>
      </w:r>
      <w:r>
        <w:rPr>
          <w:rFonts w:ascii="Avenir Roman" w:hAnsi="Avenir Roman" w:hint="default"/>
          <w:sz w:val="18"/>
          <w:szCs w:val="18"/>
          <w:rtl w:val="0"/>
          <w:lang w:val="en-US"/>
        </w:rPr>
        <w:t xml:space="preserve">” </w:t>
      </w:r>
      <w:r>
        <w:rPr>
          <w:rFonts w:ascii="Avenir Roman" w:hAnsi="Avenir Roman"/>
          <w:sz w:val="18"/>
          <w:szCs w:val="18"/>
          <w:rtl w:val="0"/>
          <w:lang w:val="en-US"/>
        </w:rPr>
        <w:t>Greenwich House Pottery, NYC</w:t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2018</w:t>
        <w:tab/>
        <w:t xml:space="preserve">   Honorable Mention, 17</w:t>
      </w:r>
      <w:r>
        <w:rPr>
          <w:rFonts w:ascii="Avenir Roman" w:hAnsi="Avenir Roman"/>
          <w:sz w:val="18"/>
          <w:szCs w:val="18"/>
          <w:vertAlign w:val="superscript"/>
          <w:rtl w:val="0"/>
          <w:lang w:val="en-US"/>
        </w:rPr>
        <w:t>th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Annual Tokyo/NY Friendship Ceramic Exhibition, Nippon House, NYC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2021</w:t>
        <w:tab/>
        <w:t xml:space="preserve">   12</w:t>
      </w:r>
      <w:r>
        <w:rPr>
          <w:rFonts w:ascii="Avenir Roman" w:hAnsi="Avenir Roman"/>
          <w:sz w:val="18"/>
          <w:szCs w:val="18"/>
          <w:vertAlign w:val="superscript"/>
          <w:rtl w:val="0"/>
          <w:lang w:val="en-US"/>
        </w:rPr>
        <w:t>th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Annual Drawing Discourse UNC Ashville Special Award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cs="Avenir Roman" w:hAnsi="Avenir Roman" w:eastAsia="Avenir Roman"/>
          <w:sz w:val="18"/>
          <w:szCs w:val="18"/>
        </w:rPr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SELECTED PULICATIONS / INTERVIEWS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1986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The Quilt Digest, Quilts in Art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The Quilt Digest Press, San Francisco, Editor: Michael M. Kile, Illus: </w:t>
      </w:r>
      <w:r>
        <w:rPr>
          <w:rFonts w:ascii="Avenir Book" w:hAnsi="Avenir Book"/>
          <w:sz w:val="18"/>
          <w:szCs w:val="18"/>
          <w:rtl w:val="0"/>
          <w:lang w:val="en-US"/>
        </w:rPr>
        <w:t>The Three Fiance</w:t>
      </w:r>
      <w:r>
        <w:rPr>
          <w:rFonts w:ascii="Avenir Roman" w:hAnsi="Avenir Roman"/>
          <w:sz w:val="18"/>
          <w:szCs w:val="18"/>
          <w:rtl w:val="0"/>
          <w:lang w:val="en-US"/>
        </w:rPr>
        <w:t>s</w:t>
        <w:tab/>
        <w:t xml:space="preserve">               2003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Journal of The Society of Gilders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Vol 17  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 The Gilder</w:t>
      </w:r>
      <w:r>
        <w:rPr>
          <w:rFonts w:ascii="Avenir Book" w:hAnsi="Avenir Book" w:hint="default"/>
          <w:sz w:val="18"/>
          <w:szCs w:val="18"/>
          <w:rtl w:val="0"/>
          <w:lang w:val="en-US"/>
        </w:rPr>
        <w:t>’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s Tip:  Profile of Robin Roi  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                                  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2008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Journal of Architectural Coatings</w:t>
      </w:r>
      <w:r>
        <w:rPr>
          <w:rFonts w:ascii="Avenir Roman" w:hAnsi="Avenir Roman"/>
          <w:sz w:val="18"/>
          <w:szCs w:val="18"/>
          <w:rtl w:val="0"/>
          <w:lang w:val="en-US"/>
        </w:rPr>
        <w:t>, June issue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 Demystifying Decorative Finishing</w:t>
      </w:r>
      <w:r>
        <w:rPr>
          <w:rFonts w:ascii="Avenir Book" w:hAnsi="Avenir Book" w:hint="default"/>
          <w:sz w:val="18"/>
          <w:szCs w:val="18"/>
          <w:rtl w:val="0"/>
          <w:lang w:val="en-US"/>
        </w:rPr>
        <w:t>…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Or: Why Gild The Lily? 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2008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 xml:space="preserve">Paint Style, </w:t>
      </w:r>
      <w:r>
        <w:rPr>
          <w:rFonts w:ascii="Avenir Roman" w:hAnsi="Avenir Roman"/>
          <w:sz w:val="18"/>
          <w:szCs w:val="18"/>
          <w:rtl w:val="0"/>
          <w:lang w:val="en-US"/>
        </w:rPr>
        <w:t>Firefly Books, Technical Consultant to Benjamin Moore: decorative finishes, sample production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2016      </w:t>
      </w:r>
      <w:r>
        <w:rPr>
          <w:rFonts w:ascii="Avenir Roman" w:hAnsi="Avenir Roman"/>
          <w:sz w:val="18"/>
          <w:szCs w:val="18"/>
          <w:u w:val="single"/>
          <w:rtl w:val="0"/>
          <w:lang w:val="it-IT"/>
        </w:rPr>
        <w:t>BoHo Home.com</w:t>
      </w:r>
      <w:r>
        <w:rPr>
          <w:rFonts w:ascii="Avenir Book" w:hAnsi="Avenir Book"/>
          <w:sz w:val="18"/>
          <w:szCs w:val="18"/>
          <w:rtl w:val="0"/>
          <w:lang w:val="en-US"/>
        </w:rPr>
        <w:t>, Everday Artist: Robin Roi _Surprised By Clay</w:t>
      </w:r>
    </w:p>
    <w:p>
      <w:pPr>
        <w:pStyle w:val="Body A"/>
        <w:widowControl w:val="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2016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Ceramics Monthly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 </w:t>
      </w:r>
      <w:r>
        <w:rPr>
          <w:rFonts w:ascii="Avenir Book" w:hAnsi="Avenir Book"/>
          <w:sz w:val="18"/>
          <w:szCs w:val="18"/>
          <w:rtl w:val="0"/>
          <w:lang w:val="en-US"/>
        </w:rPr>
        <w:t>From Idea To Finished Form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</w:t>
      </w:r>
      <w:r>
        <w:rPr>
          <w:rFonts w:ascii="Avenir Roman" w:hAnsi="Avenir Roman"/>
          <w:color w:val="01154d"/>
          <w:sz w:val="18"/>
          <w:szCs w:val="18"/>
          <w:u w:color="01154d"/>
          <w:rtl w:val="0"/>
          <w:lang w:val="en-US"/>
        </w:rPr>
        <w:t xml:space="preserve">Originally published  Sept. 2016 issue, pages 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 xml:space="preserve">53 to 62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SELECTED COLLECTIONS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Cooper Hewitt Museum, NYC  </w:t>
      </w:r>
      <w:r>
        <w:rPr>
          <w:rFonts w:ascii="Avenir Heavy" w:hAnsi="Avenir Heavy"/>
          <w:sz w:val="18"/>
          <w:szCs w:val="18"/>
          <w:rtl w:val="0"/>
          <w:lang w:val="en-US"/>
        </w:rPr>
        <w:t xml:space="preserve"> &gt;</w:t>
      </w:r>
      <w:r>
        <w:rPr>
          <w:rFonts w:ascii="Avenir Roman" w:hAnsi="Avenir Roman"/>
          <w:sz w:val="18"/>
          <w:szCs w:val="18"/>
          <w:rtl w:val="0"/>
          <w:lang w:val="de-DE"/>
        </w:rPr>
        <w:t xml:space="preserve">Mr Henckel, Donnersmarck, Switzerland 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Roman" w:hAnsi="Avenir Roman"/>
          <w:sz w:val="18"/>
          <w:szCs w:val="18"/>
          <w:rtl w:val="0"/>
          <w:lang w:val="en-US"/>
        </w:rPr>
        <w:t>Prudential Life Insurance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E. Kirk McKinney, Indianapolis, Indiana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Weatherspoon Gallery, Greensboro, N.C.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Roman" w:hAnsi="Avenir Roman"/>
          <w:sz w:val="18"/>
          <w:szCs w:val="18"/>
          <w:rtl w:val="0"/>
          <w:lang w:val="da-DK"/>
        </w:rPr>
        <w:t>Barbara Gladstone, NYC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de-DE"/>
        </w:rPr>
        <w:t xml:space="preserve">Bruno Bischofberger, Zurich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Roman" w:hAnsi="Avenir Roman"/>
          <w:sz w:val="18"/>
          <w:szCs w:val="18"/>
          <w:rtl w:val="0"/>
          <w:lang w:val="en-US"/>
        </w:rPr>
        <w:t>Hans Strelow, Dusseldorf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 xml:space="preserve">STATEMENT                                                                                                                                                                                             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My deep connection to the decorative arts is a huge influence on my career as a painter and ceramic artist. The distinction between these two mediums has blurred. The materials I use have less to do with defining the work than my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 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long-standing passion for pattern, whether it be in nature, human nature or the man-made world, pattern continues to provide inspiration for both my 2 and 3 dimensional work.</w:t>
      </w:r>
    </w:p>
    <w:p>
      <w:pPr>
        <w:pStyle w:val="Normal (Web)"/>
        <w:rPr>
          <w:rFonts w:ascii="Avenir Roman" w:cs="Avenir Roman" w:hAnsi="Avenir Roman" w:eastAsia="Avenir Roman"/>
          <w:color w:val="000000"/>
          <w:sz w:val="18"/>
          <w:szCs w:val="18"/>
          <w:u w:color="000000"/>
        </w:rPr>
      </w:pP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Working in clay has become an integral part of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 </w:t>
      </w:r>
      <w:r>
        <w:rPr>
          <w:rFonts w:ascii="Avenir Book" w:hAnsi="Avenir Book"/>
          <w:color w:val="000000"/>
          <w:sz w:val="18"/>
          <w:szCs w:val="18"/>
          <w:u w:color="000000"/>
          <w:rtl w:val="0"/>
          <w:lang w:val="en-US"/>
        </w:rPr>
        <w:t xml:space="preserve">RobRoi Design 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which</w:t>
      </w:r>
      <w:r>
        <w:rPr>
          <w:rFonts w:ascii="Avenir Book" w:hAnsi="Avenir Book"/>
          <w:color w:val="000000"/>
          <w:sz w:val="18"/>
          <w:szCs w:val="18"/>
          <w:u w:color="000000"/>
          <w:rtl w:val="0"/>
          <w:lang w:val="en-US"/>
        </w:rPr>
        <w:t xml:space="preserve"> 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 xml:space="preserve">mainly features painting and mixed media on paper. My ceramics and paintings both have a strong foundation in pattern, with highly decorated surfaces culled from a lifetime of researching and collecting old wallpapers, historic stencils, textiles and other 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“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flotsam and jetsam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”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 xml:space="preserve">. My concerns in the two-dimensional work are more narrative and biographical; with references to historic, botanic and multi-cultural patterning and layered with personal symbols and imagery, providing depth both visual and metaphorical.  Patterns, from my aforementioned collections are often a layer of 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“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scaffolding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 xml:space="preserve">” 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beneath the narrative imagery.</w:t>
      </w: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</w:pPr>
      <w:r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Avenir Heavy">
    <w:charset w:val="00"/>
    <w:family w:val="roman"/>
    <w:pitch w:val="default"/>
  </w:font>
  <w:font w:name="Avenir Roman">
    <w:charset w:val="00"/>
    <w:family w:val="roman"/>
    <w:pitch w:val="default"/>
  </w:font>
  <w:font w:name="Avenir Book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1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" w:cs="Arial Unicode MS" w:hAnsi="Time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